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38" w:rsidRDefault="0052194A" w:rsidP="00174B38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  <w:t>С</w:t>
      </w:r>
      <w:r w:rsidR="00174B38" w:rsidRPr="00174B38"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  <w:t>емейные формы устройства детей, оставшихся без попечения родителей</w:t>
      </w:r>
    </w:p>
    <w:p w:rsidR="0052194A" w:rsidRPr="00174B38" w:rsidRDefault="0052194A" w:rsidP="00174B38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</w:pPr>
    </w:p>
    <w:p w:rsidR="00174B38" w:rsidRPr="00174B38" w:rsidRDefault="00174B38" w:rsidP="00174B38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74B38">
        <w:rPr>
          <w:rFonts w:ascii="inherit" w:eastAsia="Times New Roman" w:hAnsi="inherit" w:cs="Times New Roman"/>
          <w:noProof/>
          <w:color w:val="CC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70ED73" wp14:editId="2E130653">
            <wp:extent cx="4222750" cy="2533650"/>
            <wp:effectExtent l="0" t="0" r="6350" b="0"/>
            <wp:docPr id="1" name="Рисунок 1" descr="1.jpg">
              <a:hlinkClick xmlns:a="http://schemas.openxmlformats.org/drawingml/2006/main" r:id="rId6" tgtFrame="&quot;_blank&quot;" tooltip="&quot;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>
                      <a:hlinkClick r:id="rId6" tgtFrame="&quot;_blank&quot;" tooltip="&quot;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38" w:rsidRPr="00174B38" w:rsidRDefault="00174B38" w:rsidP="00174B3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74B3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174B38" w:rsidRPr="00174B38" w:rsidRDefault="00174B38" w:rsidP="00174B3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74B3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:rsidR="00174B38" w:rsidRDefault="00174B38" w:rsidP="00174B38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</w:pPr>
      <w:r w:rsidRPr="00174B38"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  <w:t xml:space="preserve">Сравнительный анализ форм устройства детей, </w:t>
      </w:r>
      <w:bookmarkStart w:id="0" w:name="_GoBack"/>
      <w:bookmarkEnd w:id="0"/>
      <w:r w:rsidRPr="00174B38"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  <w:t>оставшихся без попечения родителей в семьи</w:t>
      </w:r>
    </w:p>
    <w:p w:rsidR="0052194A" w:rsidRPr="00174B38" w:rsidRDefault="0052194A" w:rsidP="00174B38">
      <w:pPr>
        <w:shd w:val="clear" w:color="auto" w:fill="FFFFFF"/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CC0000"/>
          <w:sz w:val="36"/>
          <w:szCs w:val="36"/>
          <w:lang w:eastAsia="ru-RU"/>
        </w:rPr>
      </w:pPr>
    </w:p>
    <w:tbl>
      <w:tblPr>
        <w:tblW w:w="10349" w:type="dxa"/>
        <w:tblInd w:w="-701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672"/>
        <w:gridCol w:w="3533"/>
      </w:tblGrid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Основания и факторы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Усыновление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Опека (попечительство)</w:t>
            </w:r>
          </w:p>
        </w:tc>
      </w:tr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4B38" w:rsidRPr="00174B38" w:rsidRDefault="00174B38" w:rsidP="00174B3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Федеральные нормативные акты, регулирующие особенности данной формы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Семейный кодекс РФ, Гражданский процессуальный кодекс РФ, Постановление Правительства РФ от 29.03.2000 г.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</w:t>
            </w: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Семейный кодекс РФ, Гражданский кодекс РФ, Федеральный закон от 24.04.2008 г. № 48-ФЗ «Об опеке и попечительстве»,</w:t>
            </w: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br/>
              <w:t>Постановление Правительства РФ от 18.05.2009 г. № 423</w:t>
            </w: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возникновения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174B38" w:rsidRPr="00174B38" w:rsidTr="00260D3B">
        <w:trPr>
          <w:trHeight w:val="750"/>
        </w:trPr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Согласие ребенка</w:t>
            </w:r>
          </w:p>
        </w:tc>
        <w:tc>
          <w:tcPr>
            <w:tcW w:w="3481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Требуется согласие ребенка, достигшего 10-летнего возраста</w:t>
            </w:r>
          </w:p>
        </w:tc>
      </w:tr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Характер возникающих отношений с детьми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174B38" w:rsidRPr="00174B38" w:rsidTr="00260D3B">
        <w:tc>
          <w:tcPr>
            <w:tcW w:w="151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Прекращение правоотношений</w:t>
            </w:r>
          </w:p>
        </w:tc>
        <w:tc>
          <w:tcPr>
            <w:tcW w:w="17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Носят постоянный характер, но возможна отмена усыновления в судебном порядке в случаях, предусмотренных законодательством.</w:t>
            </w:r>
          </w:p>
        </w:tc>
        <w:tc>
          <w:tcPr>
            <w:tcW w:w="170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4B38" w:rsidRPr="00174B38" w:rsidRDefault="00174B38" w:rsidP="00174B3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Опека прекращается по достижении малолетним 14 лет. В таких случаях опекун автоматически становится попечителем </w:t>
            </w:r>
            <w:proofErr w:type="gramStart"/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174B3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несовершеннолетним 18 лет. При заключении соответствующего договора – на срок, указанный в договоре.</w:t>
            </w:r>
          </w:p>
        </w:tc>
      </w:tr>
    </w:tbl>
    <w:p w:rsidR="00174B38" w:rsidRDefault="00174B38"/>
    <w:p w:rsidR="00174B38" w:rsidRDefault="00174B38"/>
    <w:p w:rsidR="000822F4" w:rsidRDefault="000822F4"/>
    <w:p w:rsidR="000822F4" w:rsidRDefault="000822F4"/>
    <w:p w:rsidR="000822F4" w:rsidRDefault="000822F4"/>
    <w:p w:rsidR="000822F4" w:rsidRDefault="000822F4"/>
    <w:p w:rsidR="00174B38" w:rsidRDefault="00174B38"/>
    <w:sectPr w:rsidR="0017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8E7"/>
    <w:multiLevelType w:val="multilevel"/>
    <w:tmpl w:val="36E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C"/>
    <w:rsid w:val="000822F4"/>
    <w:rsid w:val="00174B38"/>
    <w:rsid w:val="00260D3B"/>
    <w:rsid w:val="003369A8"/>
    <w:rsid w:val="0035306F"/>
    <w:rsid w:val="0052194A"/>
    <w:rsid w:val="00A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B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B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ynovite.ru/f/adoption_/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Flyagin</dc:creator>
  <cp:keywords/>
  <dc:description/>
  <cp:lastModifiedBy>Пользователь Windows</cp:lastModifiedBy>
  <cp:revision>8</cp:revision>
  <dcterms:created xsi:type="dcterms:W3CDTF">2017-09-28T08:51:00Z</dcterms:created>
  <dcterms:modified xsi:type="dcterms:W3CDTF">2017-10-09T08:26:00Z</dcterms:modified>
</cp:coreProperties>
</file>